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D308" w14:textId="77777777" w:rsidR="001C0241" w:rsidRPr="001C0241" w:rsidRDefault="001C0241" w:rsidP="001C0241">
      <w:pPr>
        <w:widowControl/>
        <w:spacing w:before="312" w:after="312" w:line="240" w:lineRule="atLeast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1C024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1C0241">
        <w:rPr>
          <w:rFonts w:ascii="宋体" w:eastAsia="宋体" w:hAnsi="宋体" w:cs="宋体" w:hint="eastAsia"/>
          <w:kern w:val="0"/>
          <w:sz w:val="32"/>
          <w:szCs w:val="32"/>
        </w:rPr>
        <w:t>2</w:t>
      </w:r>
    </w:p>
    <w:p w14:paraId="4A4BAB6E" w14:textId="77777777" w:rsidR="001C0241" w:rsidRPr="001C0241" w:rsidRDefault="001C0241" w:rsidP="001C0241">
      <w:pPr>
        <w:widowControl/>
        <w:spacing w:before="312" w:line="240" w:lineRule="atLeast"/>
        <w:jc w:val="center"/>
        <w:rPr>
          <w:rFonts w:ascii="宋体" w:eastAsia="宋体" w:hAnsi="宋体" w:cs="宋体" w:hint="eastAsia"/>
          <w:kern w:val="0"/>
          <w:sz w:val="27"/>
          <w:szCs w:val="27"/>
        </w:rPr>
      </w:pPr>
      <w:bookmarkStart w:id="0" w:name="_GoBack"/>
      <w:r w:rsidRPr="001C024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医务人员防护用品选用原则及穿脱流程</w:t>
      </w:r>
    </w:p>
    <w:bookmarkEnd w:id="0"/>
    <w:p w14:paraId="53FC666A" w14:textId="77777777" w:rsidR="001C0241" w:rsidRPr="001C0241" w:rsidRDefault="001C0241" w:rsidP="001C0241">
      <w:pPr>
        <w:widowControl/>
        <w:spacing w:before="312" w:line="240" w:lineRule="atLeast"/>
        <w:jc w:val="center"/>
        <w:rPr>
          <w:rFonts w:ascii="宋体" w:eastAsia="宋体" w:hAnsi="宋体" w:cs="宋体" w:hint="eastAsia"/>
          <w:kern w:val="0"/>
          <w:sz w:val="27"/>
          <w:szCs w:val="27"/>
        </w:rPr>
      </w:pPr>
      <w:r w:rsidRPr="001C0241">
        <w:rPr>
          <w:rFonts w:ascii="黑体" w:eastAsia="黑体" w:hAnsi="黑体" w:cs="宋体" w:hint="eastAsia"/>
          <w:kern w:val="0"/>
          <w:sz w:val="32"/>
          <w:szCs w:val="32"/>
        </w:rPr>
        <w:t xml:space="preserve">表2-1 </w:t>
      </w:r>
      <w:r w:rsidRPr="001C0241">
        <w:rPr>
          <w:rFonts w:ascii="黑体" w:eastAsia="黑体" w:hAnsi="黑体" w:cs="宋体" w:hint="eastAsia"/>
          <w:kern w:val="0"/>
          <w:sz w:val="32"/>
          <w:szCs w:val="32"/>
        </w:rPr>
        <w:t> </w:t>
      </w:r>
      <w:r w:rsidRPr="001C0241">
        <w:rPr>
          <w:rFonts w:ascii="黑体" w:eastAsia="黑体" w:hAnsi="黑体" w:cs="宋体" w:hint="eastAsia"/>
          <w:kern w:val="0"/>
          <w:sz w:val="32"/>
          <w:szCs w:val="32"/>
        </w:rPr>
        <w:t>医务人员防护用品选用原则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473"/>
        <w:gridCol w:w="701"/>
        <w:gridCol w:w="701"/>
        <w:gridCol w:w="701"/>
        <w:gridCol w:w="701"/>
        <w:gridCol w:w="702"/>
        <w:gridCol w:w="701"/>
        <w:gridCol w:w="701"/>
        <w:gridCol w:w="696"/>
      </w:tblGrid>
      <w:tr w:rsidR="001C0241" w:rsidRPr="001C0241" w14:paraId="1D1684AD" w14:textId="77777777" w:rsidTr="001C0241">
        <w:trPr>
          <w:trHeight w:val="436"/>
          <w:jc w:val="center"/>
        </w:trPr>
        <w:tc>
          <w:tcPr>
            <w:tcW w:w="32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C6F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区域（人员）</w:t>
            </w:r>
          </w:p>
        </w:tc>
        <w:tc>
          <w:tcPr>
            <w:tcW w:w="64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2FD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个人防护用品类别</w:t>
            </w:r>
          </w:p>
        </w:tc>
      </w:tr>
      <w:tr w:rsidR="001C0241" w:rsidRPr="001C0241" w14:paraId="1BBC6220" w14:textId="77777777" w:rsidTr="001C0241">
        <w:trPr>
          <w:trHeight w:val="1288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C9E38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74C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医用外科口罩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E29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医用防护口罩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53F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工作帽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5D82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手套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2B97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隔离衣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308E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防护服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8DEE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护目镜/防护面屏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45A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鞋套/靴套</w:t>
            </w:r>
          </w:p>
        </w:tc>
      </w:tr>
      <w:tr w:rsidR="001C0241" w:rsidRPr="001C0241" w14:paraId="234026C2" w14:textId="77777777" w:rsidTr="001C0241">
        <w:trPr>
          <w:trHeight w:val="343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378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医院入口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7D79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63E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3B6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D2B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5662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3A5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EB3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03FE5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6D8176F5" w14:textId="77777777" w:rsidTr="001C0241">
        <w:trPr>
          <w:trHeight w:val="343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AFE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预检分诊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F91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24B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7AD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7B6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EA3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8C0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D3B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237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455E67BA" w14:textId="77777777" w:rsidTr="001C0241">
        <w:trPr>
          <w:trHeight w:val="343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7B35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引导患者去发热门诊人员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70C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4C6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0D76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44A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267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8950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AC3E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46E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1253AD8E" w14:textId="77777777" w:rsidTr="001C0241">
        <w:trPr>
          <w:trHeight w:val="544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2EC0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常规筛查核酸检测</w:t>
            </w: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标本采样人员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44FF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BD3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35A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A605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D74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7BD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8C86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228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323A446A" w14:textId="77777777" w:rsidTr="001C0241">
        <w:trPr>
          <w:trHeight w:val="581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DFC0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有流行病学史或疑似患者</w:t>
            </w: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核酸检测标本采样人员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5A74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646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BF8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1D5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CD3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D5E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8E2C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18AE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6A6ECB77" w14:textId="77777777" w:rsidTr="001C0241">
        <w:trPr>
          <w:trHeight w:val="553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F6C7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门急诊窗口</w:t>
            </w: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（非侵入性操作）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5EB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F57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B92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EFE5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274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F86D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4BAD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1016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500196B6" w14:textId="77777777" w:rsidTr="001C0241">
        <w:trPr>
          <w:trHeight w:val="578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07D4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门急诊窗口</w:t>
            </w: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br/>
              <w:t>（侵入性操作，如采血）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2FFF5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3AD0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0B1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314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A21D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0871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B60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071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7D9A13B8" w14:textId="77777777" w:rsidTr="001C0241">
        <w:trPr>
          <w:trHeight w:val="436"/>
          <w:jc w:val="center"/>
        </w:trPr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A05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门诊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8D8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患者佩戴口罩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AFB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BFE0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C28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79D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8A1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5B1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6CE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EE66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26CB32BA" w14:textId="77777777" w:rsidTr="001C024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3886F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D74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患者需摘除口罩或有血液体液暴露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0872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E8EA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9D8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C78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140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35B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5F5D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07D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2D00118C" w14:textId="77777777" w:rsidTr="001C0241">
        <w:trPr>
          <w:trHeight w:val="436"/>
          <w:jc w:val="center"/>
        </w:trPr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5DF10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病区*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4C5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普通病区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A1A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88E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6B0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370A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048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0E7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512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635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0E105ECC" w14:textId="77777777" w:rsidTr="001C0241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E001F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A46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过渡病区(室)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59C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067B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75F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5CEE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EB6D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9A19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9C46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581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72DDA08E" w14:textId="77777777" w:rsidTr="001C0241">
        <w:trPr>
          <w:trHeight w:val="5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175EE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E6F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确诊病例定点收治隔离病区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AB8F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6EC1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15A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E6C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54F5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D0DB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4606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416D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</w:tr>
      <w:tr w:rsidR="001C0241" w:rsidRPr="001C0241" w14:paraId="514B85A8" w14:textId="77777777" w:rsidTr="001C0241">
        <w:trPr>
          <w:trHeight w:val="436"/>
          <w:jc w:val="center"/>
        </w:trPr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4EF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手术室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0CD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常规手术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42A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05F6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9D97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E0F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D7D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4716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05B6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90F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29986085" w14:textId="77777777" w:rsidTr="001C0241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34D87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298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急诊、新冠肺炎</w:t>
            </w:r>
          </w:p>
          <w:p w14:paraId="7890190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疑似患者或确诊患者手术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EF0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8BC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4B21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F1C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23E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69D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6E05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748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</w:tr>
      <w:tr w:rsidR="001C0241" w:rsidRPr="001C0241" w14:paraId="4A2311DA" w14:textId="77777777" w:rsidTr="001C0241">
        <w:trPr>
          <w:trHeight w:val="436"/>
          <w:jc w:val="center"/>
        </w:trPr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BA35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发热门诊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E07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诊室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EA34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B76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D7B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480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EA4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159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D28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11C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</w:tr>
      <w:tr w:rsidR="001C0241" w:rsidRPr="001C0241" w14:paraId="3FE25070" w14:textId="77777777" w:rsidTr="001C0241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0BD20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41C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检查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D32C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1BC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C9A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117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D1F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87C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2E2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D16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</w:tr>
      <w:tr w:rsidR="001C0241" w:rsidRPr="001C0241" w14:paraId="10623AE7" w14:textId="77777777" w:rsidTr="001C0241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4ACAE" w14:textId="77777777" w:rsidR="001C0241" w:rsidRPr="001C0241" w:rsidRDefault="001C0241" w:rsidP="001C024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80C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留观病室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206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2C06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C12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FD4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B26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643C7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2EB9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69A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</w:tr>
      <w:tr w:rsidR="001C0241" w:rsidRPr="001C0241" w14:paraId="7835BDF7" w14:textId="77777777" w:rsidTr="001C0241">
        <w:trPr>
          <w:trHeight w:val="436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7B9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新冠PCR实验室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6D1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9FF0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8C449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EA82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235E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921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0DA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0B06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7E53051B" w14:textId="77777777" w:rsidTr="001C0241">
        <w:trPr>
          <w:trHeight w:val="436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B64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新冠肺炎疑似患者或确诊患者转运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F6E5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7BDC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47DC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8FA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A115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88F4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3C24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5E945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±</w:t>
            </w:r>
          </w:p>
        </w:tc>
      </w:tr>
      <w:tr w:rsidR="001C0241" w:rsidRPr="001C0241" w14:paraId="5BFDFB49" w14:textId="77777777" w:rsidTr="001C0241">
        <w:trPr>
          <w:trHeight w:val="436"/>
          <w:jc w:val="center"/>
        </w:trPr>
        <w:tc>
          <w:tcPr>
            <w:tcW w:w="3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E58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行政部门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3F18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＋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52A3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05A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2B6B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677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E20D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8FD0A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04D2F" w14:textId="77777777" w:rsidR="001C0241" w:rsidRPr="001C0241" w:rsidRDefault="001C0241" w:rsidP="001C024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-</w:t>
            </w:r>
          </w:p>
        </w:tc>
      </w:tr>
      <w:tr w:rsidR="001C0241" w:rsidRPr="001C0241" w14:paraId="7C68909C" w14:textId="77777777" w:rsidTr="001C0241">
        <w:trPr>
          <w:trHeight w:val="436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F90F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注1：</w:t>
            </w:r>
            <w:proofErr w:type="gramStart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“＋”指需采取</w:t>
            </w:r>
            <w:proofErr w:type="gramEnd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的防护措施。</w:t>
            </w:r>
          </w:p>
        </w:tc>
      </w:tr>
      <w:tr w:rsidR="001C0241" w:rsidRPr="001C0241" w14:paraId="2AB5B9AA" w14:textId="77777777" w:rsidTr="001C0241">
        <w:trPr>
          <w:trHeight w:val="436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9A8B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注2：“±”指根据工作需要可采取的防护措施；隔离衣和防护</w:t>
            </w:r>
            <w:proofErr w:type="gramStart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服同时</w:t>
            </w:r>
            <w:proofErr w:type="gramEnd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为“±”，应二选</w:t>
            </w:r>
            <w:proofErr w:type="gramStart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  <w:proofErr w:type="gramEnd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。</w:t>
            </w:r>
          </w:p>
        </w:tc>
      </w:tr>
      <w:tr w:rsidR="001C0241" w:rsidRPr="001C0241" w14:paraId="5CF0BD71" w14:textId="77777777" w:rsidTr="001C0241">
        <w:trPr>
          <w:trHeight w:val="436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6934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注3：医用外科口罩和医用防护口罩不同时佩戴；防护服和隔离衣不同时穿戴；</w:t>
            </w:r>
            <w:proofErr w:type="gramStart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防护服如已有</w:t>
            </w:r>
            <w:proofErr w:type="gramEnd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靴套则不需另加穿。</w:t>
            </w:r>
          </w:p>
        </w:tc>
      </w:tr>
      <w:tr w:rsidR="001C0241" w:rsidRPr="001C0241" w14:paraId="183B29A2" w14:textId="77777777" w:rsidTr="001C0241">
        <w:trPr>
          <w:trHeight w:val="436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071D1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注4：餐饮配送、标本运送、</w:t>
            </w:r>
            <w:proofErr w:type="gramStart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医</w:t>
            </w:r>
            <w:proofErr w:type="gramEnd"/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废处置等人员防护按所在区域的要求选用。</w:t>
            </w:r>
          </w:p>
        </w:tc>
      </w:tr>
      <w:tr w:rsidR="001C0241" w:rsidRPr="001C0241" w14:paraId="3FE944DA" w14:textId="77777777" w:rsidTr="001C0241">
        <w:trPr>
          <w:trHeight w:val="435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E300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注5：为新冠肺炎疑似患者或确诊患者实施气管切开、气管插管时可根据情况加用正压头套或全面防护型呼吸防护器。</w:t>
            </w:r>
          </w:p>
        </w:tc>
      </w:tr>
      <w:tr w:rsidR="001C0241" w:rsidRPr="001C0241" w14:paraId="5C1A922D" w14:textId="77777777" w:rsidTr="001C0241">
        <w:trPr>
          <w:trHeight w:val="435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2E77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注6：《新型冠状病毒感染的肺炎防控中常见医用防护用品使用范围指引（试行）》（国卫办医函〔2020〕75号）废止。</w:t>
            </w:r>
          </w:p>
        </w:tc>
      </w:tr>
      <w:tr w:rsidR="001C0241" w:rsidRPr="001C0241" w14:paraId="3732140F" w14:textId="77777777" w:rsidTr="001C0241">
        <w:trPr>
          <w:trHeight w:val="435"/>
          <w:jc w:val="center"/>
        </w:trPr>
        <w:tc>
          <w:tcPr>
            <w:tcW w:w="97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6A770" w14:textId="77777777" w:rsidR="001C0241" w:rsidRPr="001C0241" w:rsidRDefault="001C0241" w:rsidP="001C0241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1C024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* 普通病房可选项取决于患者是否摘除口罩或有血液体液暴露。</w:t>
            </w:r>
          </w:p>
        </w:tc>
      </w:tr>
    </w:tbl>
    <w:p w14:paraId="173848EA" w14:textId="3E886265" w:rsidR="001C0241" w:rsidRPr="001C0241" w:rsidRDefault="001C0241" w:rsidP="001C0241">
      <w:pPr>
        <w:widowControl/>
        <w:spacing w:after="312" w:line="240" w:lineRule="atLeast"/>
        <w:jc w:val="center"/>
        <w:rPr>
          <w:rFonts w:ascii="宋体" w:eastAsia="宋体" w:hAnsi="宋体" w:cs="宋体"/>
          <w:kern w:val="0"/>
          <w:sz w:val="27"/>
          <w:szCs w:val="27"/>
        </w:rPr>
      </w:pP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/>
          <w:noProof/>
          <w:kern w:val="0"/>
          <w:sz w:val="27"/>
          <w:szCs w:val="27"/>
        </w:rPr>
        <mc:AlternateContent>
          <mc:Choice Requires="wps">
            <w:drawing>
              <wp:inline distT="0" distB="0" distL="0" distR="0" wp14:anchorId="1E43B401" wp14:editId="51979051">
                <wp:extent cx="704850" cy="15240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4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D85C7" id="矩形 4" o:spid="_x0000_s1026" style="width:55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1C0241">
        <w:rPr>
          <w:rFonts w:ascii="宋体" w:eastAsia="宋体" w:hAnsi="宋体" w:cs="宋体"/>
          <w:noProof/>
          <w:kern w:val="0"/>
          <w:sz w:val="27"/>
          <w:szCs w:val="27"/>
        </w:rPr>
        <mc:AlternateContent>
          <mc:Choice Requires="wps">
            <w:drawing>
              <wp:inline distT="0" distB="0" distL="0" distR="0" wp14:anchorId="265D5F2F" wp14:editId="547CE31F">
                <wp:extent cx="209550" cy="15240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5BBCD" id="矩形 3" o:spid="_x0000_s1026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br/>
      </w:r>
      <w:r w:rsidRPr="001C0241">
        <w:rPr>
          <w:rFonts w:ascii="宋体" w:eastAsia="宋体" w:hAnsi="宋体" w:cs="宋体" w:hint="eastAsia"/>
          <w:kern w:val="0"/>
          <w:sz w:val="27"/>
          <w:szCs w:val="27"/>
        </w:rPr>
        <w:br/>
      </w:r>
      <w:r w:rsidRPr="001C0241">
        <w:rPr>
          <w:rFonts w:ascii="黑体" w:eastAsia="黑体" w:hAnsi="黑体" w:cs="宋体" w:hint="eastAsia"/>
          <w:kern w:val="0"/>
          <w:szCs w:val="21"/>
        </w:rPr>
        <w:t> </w:t>
      </w:r>
    </w:p>
    <w:p w14:paraId="6551EBBB" w14:textId="704513F0" w:rsidR="001C0241" w:rsidRPr="001C0241" w:rsidRDefault="001C0241" w:rsidP="001C0241">
      <w:pPr>
        <w:widowControl/>
        <w:spacing w:before="312" w:after="312" w:line="240" w:lineRule="atLeast"/>
        <w:jc w:val="center"/>
        <w:rPr>
          <w:rFonts w:ascii="宋体" w:eastAsia="宋体" w:hAnsi="宋体" w:cs="宋体" w:hint="eastAsia"/>
          <w:kern w:val="0"/>
          <w:sz w:val="27"/>
          <w:szCs w:val="27"/>
        </w:rPr>
      </w:pPr>
      <w:r w:rsidRPr="001C0241">
        <w:rPr>
          <w:rFonts w:ascii="黑体" w:eastAsia="黑体" w:hAnsi="黑体" w:cs="宋体"/>
          <w:noProof/>
          <w:kern w:val="0"/>
          <w:szCs w:val="21"/>
        </w:rPr>
        <w:drawing>
          <wp:inline distT="0" distB="0" distL="0" distR="0" wp14:anchorId="6719593A" wp14:editId="6943FCC5">
            <wp:extent cx="5274310" cy="44977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D6404" w14:textId="77777777" w:rsidR="001C0241" w:rsidRPr="001C0241" w:rsidRDefault="001C0241" w:rsidP="001C0241">
      <w:pPr>
        <w:widowControl/>
        <w:ind w:right="234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1C0241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</w:p>
    <w:p w14:paraId="6C82A353" w14:textId="77777777" w:rsidR="001C0241" w:rsidRPr="001C0241" w:rsidRDefault="001C0241" w:rsidP="001C0241">
      <w:pPr>
        <w:widowControl/>
        <w:ind w:right="234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1C0241">
        <w:rPr>
          <w:rFonts w:ascii="仿宋_GB2312" w:eastAsia="仿宋_GB2312" w:hAnsi="宋体" w:cs="宋体" w:hint="eastAsia"/>
          <w:kern w:val="0"/>
          <w:sz w:val="32"/>
          <w:szCs w:val="32"/>
        </w:rPr>
        <w:t> </w:t>
      </w:r>
    </w:p>
    <w:p w14:paraId="6AC097FE" w14:textId="77777777" w:rsidR="001C0241" w:rsidRPr="001C0241" w:rsidRDefault="001C0241" w:rsidP="001C0241">
      <w:pPr>
        <w:widowControl/>
        <w:ind w:right="234"/>
        <w:jc w:val="left"/>
        <w:rPr>
          <w:rFonts w:ascii="宋体" w:eastAsia="宋体" w:hAnsi="宋体" w:cs="宋体" w:hint="eastAsia"/>
          <w:kern w:val="0"/>
          <w:sz w:val="27"/>
          <w:szCs w:val="27"/>
        </w:rPr>
      </w:pPr>
      <w:r w:rsidRPr="001C0241">
        <w:rPr>
          <w:rFonts w:ascii="仿宋_GB2312" w:eastAsia="仿宋_GB2312" w:hAnsi="宋体" w:cs="宋体" w:hint="eastAsia"/>
          <w:kern w:val="0"/>
          <w:sz w:val="28"/>
          <w:szCs w:val="28"/>
        </w:rPr>
        <w:t> </w:t>
      </w:r>
    </w:p>
    <w:p w14:paraId="7993DA64" w14:textId="1EAB96B0" w:rsidR="001C0241" w:rsidRPr="001C0241" w:rsidRDefault="001C0241" w:rsidP="001C0241">
      <w:pPr>
        <w:widowControl/>
        <w:ind w:right="234"/>
        <w:jc w:val="center"/>
        <w:rPr>
          <w:rFonts w:ascii="宋体" w:eastAsia="宋体" w:hAnsi="宋体" w:cs="宋体" w:hint="eastAsia"/>
          <w:kern w:val="0"/>
          <w:sz w:val="27"/>
          <w:szCs w:val="27"/>
        </w:rPr>
      </w:pPr>
      <w:r w:rsidRPr="001C024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 </w:t>
      </w:r>
      <w:r w:rsidRPr="001C0241">
        <w:rPr>
          <w:rFonts w:ascii="仿宋_GB2312" w:eastAsia="仿宋_GB2312" w:hAnsi="宋体" w:cs="宋体"/>
          <w:noProof/>
          <w:kern w:val="0"/>
          <w:sz w:val="28"/>
          <w:szCs w:val="28"/>
        </w:rPr>
        <w:drawing>
          <wp:inline distT="0" distB="0" distL="0" distR="0" wp14:anchorId="5280E707" wp14:editId="7762A6F2">
            <wp:extent cx="5274310" cy="56705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C67E" w14:textId="77777777" w:rsidR="001C1B23" w:rsidRDefault="001C1B23">
      <w:pPr>
        <w:rPr>
          <w:rFonts w:hint="eastAsia"/>
        </w:rPr>
      </w:pPr>
    </w:p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77"/>
    <w:rsid w:val="001C0241"/>
    <w:rsid w:val="001C1B23"/>
    <w:rsid w:val="0042376E"/>
    <w:rsid w:val="006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CE418-7BA8-42D2-8884-F047B7CC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basedOn w:val="a"/>
    <w:rsid w:val="001C02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1C0241"/>
  </w:style>
  <w:style w:type="paragraph" w:customStyle="1" w:styleId="22">
    <w:name w:val="22"/>
    <w:basedOn w:val="a"/>
    <w:rsid w:val="001C024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2021-04-14T07:51:00Z</dcterms:created>
  <dcterms:modified xsi:type="dcterms:W3CDTF">2021-04-14T07:52:00Z</dcterms:modified>
</cp:coreProperties>
</file>